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58" w:rsidRDefault="004F28E3">
      <w:r w:rsidRPr="004F28E3">
        <w:drawing>
          <wp:inline distT="0" distB="0" distL="0" distR="0">
            <wp:extent cx="5760720" cy="3697370"/>
            <wp:effectExtent l="0" t="0" r="0" b="0"/>
            <wp:docPr id="1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00800" cy="4621662"/>
                      <a:chOff x="971600" y="110328"/>
                      <a:chExt cx="7200800" cy="4621662"/>
                    </a:xfrm>
                  </a:grpSpPr>
                  <a:sp>
                    <a:nvSpPr>
                      <a:cNvPr id="62" name="Shape 62"/>
                      <a:cNvSpPr txBox="1">
                        <a:spLocks noGrp="1"/>
                      </a:cNvSpPr>
                    </a:nvSpPr>
                    <a:spPr>
                      <a:xfrm>
                        <a:off x="1031425" y="750150"/>
                        <a:ext cx="7081200" cy="53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ctr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SzPct val="100000"/>
                            <a:buFont typeface="Playfair Display"/>
                            <a:buNone/>
                            <a:defRPr sz="1800" b="0" i="1" u="none" strike="noStrike" cap="none">
                              <a:solidFill>
                                <a:srgbClr val="000000"/>
                              </a:solidFill>
                              <a:latin typeface="Playfair Display"/>
                              <a:ea typeface="Playfair Display"/>
                              <a:cs typeface="Playfair Display"/>
                              <a:sym typeface="Playfair Display"/>
                            </a:defRPr>
                          </a:lvl1pPr>
                          <a:lvl2pPr lvl="1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2pPr>
                          <a:lvl3pPr lvl="2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3pPr>
                          <a:lvl4pPr lvl="3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4pPr>
                          <a:lvl5pPr lvl="4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5pPr>
                          <a:lvl6pPr lvl="5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6pPr>
                          <a:lvl7pPr lvl="6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7pPr>
                          <a:lvl8pPr lvl="7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8pPr>
                          <a:lvl9pPr lvl="8">
                            <a:spcBef>
                              <a:spcPts val="0"/>
                            </a:spcBef>
                            <a:buSzPct val="100000"/>
                            <a:buNone/>
                            <a:defRPr sz="3600" b="1"/>
                          </a:lvl9pPr>
                        </a:lstStyle>
                        <a:p>
                          <a:pPr lvl="0" rtl="0">
                            <a:spcBef>
                              <a:spcPts val="0"/>
                            </a:spcBef>
                            <a:buNone/>
                          </a:pPr>
                          <a:r>
                            <a:rPr lang="tr-TR" dirty="0" smtClean="0"/>
                            <a:t>Okulun Tarihçesi</a:t>
                          </a:r>
                          <a:endParaRPr lang="en" dirty="0"/>
                        </a:p>
                      </a:txBody>
                      <a:useSpRect/>
                    </a:txSp>
                  </a:sp>
                  <a:sp>
                    <a:nvSpPr>
                      <a:cNvPr id="63" name="Shape 63"/>
                      <a:cNvSpPr txBox="1">
                        <a:spLocks noGrp="1"/>
                      </a:cNvSpPr>
                    </a:nvSpPr>
                    <a:spPr>
                      <a:xfrm>
                        <a:off x="971600" y="1492374"/>
                        <a:ext cx="7200800" cy="32396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a:spPr>
                    <a:txSp>
                      <a:txBody>
                        <a:bodyPr lIns="91425" tIns="91425" rIns="91425" bIns="91425" anchor="t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◈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1pPr>
                          <a:lvl2pPr marR="0" lvl="1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⬥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2pPr>
                          <a:lvl3pPr marR="0" lvl="2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⬦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3pPr>
                          <a:lvl4pPr marR="0" lvl="3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⬩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4pPr>
                          <a:lvl5pPr marR="0" lvl="4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⬩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5pPr>
                          <a:lvl6pPr marR="0" lvl="5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⬩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6pPr>
                          <a:lvl7pPr marR="0" lvl="6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Clr>
                              <a:srgbClr val="CC0000"/>
                            </a:buClr>
                            <a:buSzPct val="100000"/>
                            <a:buFont typeface="Lora"/>
                            <a:buChar char="⬩"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7pPr>
                          <a:lvl8pPr marR="0" lvl="7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SzPct val="100000"/>
                            <a:buFont typeface="Lora"/>
                            <a:buNone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8pPr>
                          <a:lvl9pPr marR="0" lvl="8" algn="l" rtl="0">
                            <a:lnSpc>
                              <a:spcPct val="115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SzPct val="100000"/>
                            <a:buFont typeface="Lora"/>
                            <a:buNone/>
                            <a:defRPr sz="2000" b="0" i="0" u="none" strike="noStrike" cap="none">
                              <a:solidFill>
                                <a:srgbClr val="000000"/>
                              </a:solidFill>
                              <a:latin typeface="Lora"/>
                              <a:ea typeface="Lora"/>
                              <a:cs typeface="Lora"/>
                              <a:sym typeface="Lora"/>
                            </a:defRPr>
                          </a:lvl9pPr>
                        </a:lstStyle>
                        <a:p>
                          <a:r>
                            <a:rPr lang="tr-TR" sz="1400" b="1" dirty="0" smtClean="0"/>
                            <a:t>İlkokul olarak açılışı 1938 yılında yapılan okulumuz, ilk mezunlarını 1942-1943 eğitim öğretim yılında vermiştir. </a:t>
                          </a:r>
                        </a:p>
                        <a:p>
                          <a:endParaRPr lang="tr-TR" sz="1400" b="1" dirty="0" smtClean="0"/>
                        </a:p>
                        <a:p>
                          <a:r>
                            <a:rPr lang="tr-TR" sz="1400" b="1" dirty="0" smtClean="0"/>
                            <a:t>Başöğretmeni Adil </a:t>
                          </a:r>
                          <a:r>
                            <a:rPr lang="tr-TR" sz="1400" b="1" dirty="0" err="1" smtClean="0"/>
                            <a:t>KAYGUSUZEL’dir</a:t>
                          </a:r>
                          <a:r>
                            <a:rPr lang="tr-TR" sz="1400" b="1" dirty="0" smtClean="0"/>
                            <a:t>.</a:t>
                          </a:r>
                        </a:p>
                        <a:p>
                          <a:endParaRPr lang="tr-TR" sz="1400" b="1" dirty="0" smtClean="0"/>
                        </a:p>
                        <a:p>
                          <a:r>
                            <a:rPr lang="tr-TR" sz="1400" b="1" dirty="0" smtClean="0"/>
                            <a:t>Ortaokul olarak açılışı ise 1976 yılında köyün Büyük Cami’sinin medrese binasında yapılmıştır. 1985 yılında da bir hayırsever vatandaş tarafından bugün kullanılan binası yaptırılmıştır. </a:t>
                          </a:r>
                        </a:p>
                        <a:p>
                          <a:endParaRPr lang="tr-TR" sz="1400" b="1" dirty="0" smtClean="0"/>
                        </a:p>
                        <a:p>
                          <a:r>
                            <a:rPr lang="tr-TR" sz="1400" b="1" dirty="0" smtClean="0"/>
                            <a:t>Okulumuz 2014-2015 eğitim öğretim yılında ayrı bir müdürün atanması ile idari olarak da ilkokuldan ayrılmış ve ortaokul olarak eğitime devam etmeye başlamıştır.</a:t>
                          </a:r>
                        </a:p>
                        <a:p>
                          <a:pPr>
                            <a:buNone/>
                          </a:pPr>
                          <a:endParaRPr lang="tr-TR" sz="1400" dirty="0" smtClean="0"/>
                        </a:p>
                      </a:txBody>
                      <a:useSpRect/>
                    </a:txSp>
                  </a:sp>
                  <a:sp>
                    <a:nvSpPr>
                      <a:cNvPr id="4" name="Shape 355"/>
                      <a:cNvSpPr/>
                    </a:nvSpPr>
                    <a:spPr>
                      <a:xfrm>
                        <a:off x="4427984" y="110328"/>
                        <a:ext cx="288032" cy="251371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18416" h="16072" extrusionOk="0">
                            <a:moveTo>
                              <a:pt x="9208" y="1"/>
                            </a:moveTo>
                            <a:lnTo>
                              <a:pt x="1" y="8866"/>
                            </a:lnTo>
                            <a:lnTo>
                              <a:pt x="2882" y="8866"/>
                            </a:lnTo>
                            <a:lnTo>
                              <a:pt x="2882" y="15290"/>
                            </a:lnTo>
                            <a:lnTo>
                              <a:pt x="2907" y="15461"/>
                            </a:lnTo>
                            <a:lnTo>
                              <a:pt x="2956" y="15607"/>
                            </a:lnTo>
                            <a:lnTo>
                              <a:pt x="3029" y="15729"/>
                            </a:lnTo>
                            <a:lnTo>
                              <a:pt x="3102" y="15851"/>
                            </a:lnTo>
                            <a:lnTo>
                              <a:pt x="3224" y="15949"/>
                            </a:lnTo>
                            <a:lnTo>
                              <a:pt x="3371" y="16022"/>
                            </a:lnTo>
                            <a:lnTo>
                              <a:pt x="3517" y="16071"/>
                            </a:lnTo>
                            <a:lnTo>
                              <a:pt x="7425" y="16071"/>
                            </a:lnTo>
                            <a:lnTo>
                              <a:pt x="7425" y="13458"/>
                            </a:lnTo>
                            <a:lnTo>
                              <a:pt x="7450" y="13165"/>
                            </a:lnTo>
                            <a:lnTo>
                              <a:pt x="7547" y="12896"/>
                            </a:lnTo>
                            <a:lnTo>
                              <a:pt x="7669" y="12652"/>
                            </a:lnTo>
                            <a:lnTo>
                              <a:pt x="7840" y="12457"/>
                            </a:lnTo>
                            <a:lnTo>
                              <a:pt x="8060" y="12286"/>
                            </a:lnTo>
                            <a:lnTo>
                              <a:pt x="8280" y="12164"/>
                            </a:lnTo>
                            <a:lnTo>
                              <a:pt x="8549" y="12066"/>
                            </a:lnTo>
                            <a:lnTo>
                              <a:pt x="8842" y="12041"/>
                            </a:lnTo>
                            <a:lnTo>
                              <a:pt x="9574" y="12041"/>
                            </a:lnTo>
                            <a:lnTo>
                              <a:pt x="9867" y="12066"/>
                            </a:lnTo>
                            <a:lnTo>
                              <a:pt x="10136" y="12164"/>
                            </a:lnTo>
                            <a:lnTo>
                              <a:pt x="10356" y="12286"/>
                            </a:lnTo>
                            <a:lnTo>
                              <a:pt x="10576" y="12457"/>
                            </a:lnTo>
                            <a:lnTo>
                              <a:pt x="10747" y="12652"/>
                            </a:lnTo>
                            <a:lnTo>
                              <a:pt x="10869" y="12896"/>
                            </a:lnTo>
                            <a:lnTo>
                              <a:pt x="10967" y="13165"/>
                            </a:lnTo>
                            <a:lnTo>
                              <a:pt x="10991" y="13458"/>
                            </a:lnTo>
                            <a:lnTo>
                              <a:pt x="10991" y="16071"/>
                            </a:lnTo>
                            <a:lnTo>
                              <a:pt x="14899" y="16071"/>
                            </a:lnTo>
                            <a:lnTo>
                              <a:pt x="15045" y="16022"/>
                            </a:lnTo>
                            <a:lnTo>
                              <a:pt x="15192" y="15949"/>
                            </a:lnTo>
                            <a:lnTo>
                              <a:pt x="15314" y="15851"/>
                            </a:lnTo>
                            <a:lnTo>
                              <a:pt x="15387" y="15729"/>
                            </a:lnTo>
                            <a:lnTo>
                              <a:pt x="15460" y="15607"/>
                            </a:lnTo>
                            <a:lnTo>
                              <a:pt x="15509" y="15461"/>
                            </a:lnTo>
                            <a:lnTo>
                              <a:pt x="15534" y="15290"/>
                            </a:lnTo>
                            <a:lnTo>
                              <a:pt x="15534" y="8866"/>
                            </a:lnTo>
                            <a:lnTo>
                              <a:pt x="18416" y="8866"/>
                            </a:lnTo>
                            <a:lnTo>
                              <a:pt x="9208" y="1"/>
                            </a:lnTo>
                            <a:close/>
                          </a:path>
                        </a:pathLst>
                      </a:custGeom>
                      <a:solidFill>
                        <a:srgbClr val="CC0000"/>
                      </a:solidFill>
                      <a:ln>
                        <a:noFill/>
                      </a:ln>
                    </a:spPr>
                    <a:txSp>
                      <a:txBody>
                        <a:bodyPr lIns="91425" tIns="91425" rIns="91425" bIns="91425" anchor="ctr" anchorCtr="0">
                          <a:noAutofit/>
                        </a:bodyPr>
                        <a:lstStyle>
                          <a:def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</a:defPPr>
                          <a:lvl1pPr marR="0" lvl="0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1pPr>
                          <a:lvl2pPr marR="0" lvl="1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2pPr>
                          <a:lvl3pPr marR="0" lvl="2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3pPr>
                          <a:lvl4pPr marR="0" lvl="3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4pPr>
                          <a:lvl5pPr marR="0" lvl="4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5pPr>
                          <a:lvl6pPr marR="0" lvl="5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6pPr>
                          <a:lvl7pPr marR="0" lvl="6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7pPr>
                          <a:lvl8pPr marR="0" lvl="7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8pPr>
                          <a:lvl9pPr marR="0" lvl="8" algn="l" rtl="0">
                            <a:lnSpc>
                              <a:spcPct val="100000"/>
                            </a:lnSpc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buNone/>
                            <a:defRPr sz="1400" b="0" i="0" u="none" strike="noStrike" cap="none">
                              <a:solidFill>
                                <a:srgbClr val="000000"/>
                              </a:solidFill>
                              <a:latin typeface="Arial"/>
                              <a:ea typeface="Arial"/>
                              <a:cs typeface="Arial"/>
                              <a:sym typeface="Arial"/>
                            </a:defRPr>
                          </a:lvl9pPr>
                        </a:lstStyle>
                        <a:p>
                          <a:pPr lvl="0">
                            <a:spcBef>
                              <a:spcPts val="0"/>
                            </a:spcBef>
                            <a:buNone/>
                          </a:pPr>
                          <a:endParaRPr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8B5C58" w:rsidSect="008B5C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E7" w:rsidRDefault="007D2DE7" w:rsidP="004F28E3">
      <w:pPr>
        <w:spacing w:after="0" w:line="240" w:lineRule="auto"/>
      </w:pPr>
      <w:r>
        <w:separator/>
      </w:r>
    </w:p>
  </w:endnote>
  <w:endnote w:type="continuationSeparator" w:id="0">
    <w:p w:rsidR="007D2DE7" w:rsidRDefault="007D2DE7" w:rsidP="004F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E7" w:rsidRDefault="007D2DE7" w:rsidP="004F28E3">
      <w:pPr>
        <w:spacing w:after="0" w:line="240" w:lineRule="auto"/>
      </w:pPr>
      <w:r>
        <w:separator/>
      </w:r>
    </w:p>
  </w:footnote>
  <w:footnote w:type="continuationSeparator" w:id="0">
    <w:p w:rsidR="007D2DE7" w:rsidRDefault="007D2DE7" w:rsidP="004F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633" o:spid="_x0000_s2050" type="#_x0000_t75" style="position:absolute;margin-left:0;margin-top:0;width:453.45pt;height:339.6pt;z-index:-251657216;mso-position-horizontal:center;mso-position-horizontal-relative:margin;mso-position-vertical:center;mso-position-vertical-relative:margin" o:allowincell="f">
          <v:imagedata r:id="rId1" o:title="logookulPNG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634" o:spid="_x0000_s2051" type="#_x0000_t75" style="position:absolute;margin-left:0;margin-top:0;width:453.45pt;height:339.6pt;z-index:-251656192;mso-position-horizontal:center;mso-position-horizontal-relative:margin;mso-position-vertical:center;mso-position-vertical-relative:margin" o:allowincell="f">
          <v:imagedata r:id="rId1" o:title="logookulPNG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8E3" w:rsidRDefault="004F28E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9632" o:spid="_x0000_s2049" type="#_x0000_t75" style="position:absolute;margin-left:0;margin-top:0;width:453.45pt;height:339.6pt;z-index:-251658240;mso-position-horizontal:center;mso-position-horizontal-relative:margin;mso-position-vertical:center;mso-position-vertical-relative:margin" o:allowincell="f">
          <v:imagedata r:id="rId1" o:title="logookulPNG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28E3"/>
    <w:rsid w:val="00135042"/>
    <w:rsid w:val="0016732E"/>
    <w:rsid w:val="00172BEB"/>
    <w:rsid w:val="002B125D"/>
    <w:rsid w:val="002D6159"/>
    <w:rsid w:val="002F3A31"/>
    <w:rsid w:val="003047E6"/>
    <w:rsid w:val="00453A54"/>
    <w:rsid w:val="00476C83"/>
    <w:rsid w:val="004E50F1"/>
    <w:rsid w:val="004F28E3"/>
    <w:rsid w:val="005A1D84"/>
    <w:rsid w:val="00667032"/>
    <w:rsid w:val="006768E6"/>
    <w:rsid w:val="00680E40"/>
    <w:rsid w:val="00707C7D"/>
    <w:rsid w:val="007510B5"/>
    <w:rsid w:val="00767FDC"/>
    <w:rsid w:val="007D2DE7"/>
    <w:rsid w:val="008B5C58"/>
    <w:rsid w:val="00970251"/>
    <w:rsid w:val="009F1428"/>
    <w:rsid w:val="00A767C0"/>
    <w:rsid w:val="00B00C89"/>
    <w:rsid w:val="00B91F37"/>
    <w:rsid w:val="00C33C76"/>
    <w:rsid w:val="00C42305"/>
    <w:rsid w:val="00D2173B"/>
    <w:rsid w:val="00E17AB7"/>
    <w:rsid w:val="00E55CFF"/>
    <w:rsid w:val="00E932E1"/>
    <w:rsid w:val="00F4325B"/>
    <w:rsid w:val="00FE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5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2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8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F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F28E3"/>
  </w:style>
  <w:style w:type="paragraph" w:styleId="Altbilgi">
    <w:name w:val="footer"/>
    <w:basedOn w:val="Normal"/>
    <w:link w:val="AltbilgiChar"/>
    <w:uiPriority w:val="99"/>
    <w:semiHidden/>
    <w:unhideWhenUsed/>
    <w:rsid w:val="004F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F2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erdi</dc:creator>
  <cp:keywords/>
  <dc:description/>
  <cp:lastModifiedBy>erdi</cp:lastModifiedBy>
  <cp:revision>2</cp:revision>
  <dcterms:created xsi:type="dcterms:W3CDTF">2018-02-20T07:37:00Z</dcterms:created>
  <dcterms:modified xsi:type="dcterms:W3CDTF">2018-02-20T07:38:00Z</dcterms:modified>
</cp:coreProperties>
</file>